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内蒙古自治区人民政府</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关于《赤峰市元宝山区平庄片区等四个</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片区土地征收成片开发调整方案</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（2022</w:t>
      </w:r>
      <w:r>
        <w:rPr>
          <w:rFonts w:hint="eastAsia" w:ascii="仿宋" w:hAnsi="仿宋" w:eastAsia="仿宋" w:cs="仿宋"/>
          <w:sz w:val="44"/>
          <w:szCs w:val="44"/>
          <w:lang w:val="en-US" w:eastAsia="zh-CN"/>
        </w:rPr>
        <w:t>-</w:t>
      </w:r>
      <w:r>
        <w:rPr>
          <w:rFonts w:hint="eastAsia" w:ascii="方正小标宋简体" w:eastAsia="方正小标宋简体"/>
          <w:sz w:val="44"/>
          <w:szCs w:val="44"/>
        </w:rPr>
        <w:t>2023年）》的批复</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ascii="仿宋_GB2312" w:eastAsia="仿宋_GB2312"/>
          <w:sz w:val="28"/>
          <w:szCs w:val="28"/>
        </w:rPr>
      </w:pPr>
      <w:bookmarkStart w:id="0" w:name="缓急"/>
      <w:bookmarkEnd w:id="0"/>
      <w:r>
        <w:rPr>
          <w:rFonts w:hint="eastAsia" w:ascii="仿宋_GB2312" w:eastAsia="仿宋_GB2312"/>
          <w:sz w:val="32"/>
          <w:szCs w:val="32"/>
        </w:rPr>
        <w:t>内政字〔</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189</w:t>
      </w:r>
      <w:r>
        <w:rPr>
          <w:rFonts w:hint="eastAsia" w:ascii="仿宋_GB2312" w:eastAsia="仿宋_GB2312"/>
          <w:sz w:val="32"/>
          <w:szCs w:val="32"/>
        </w:rPr>
        <w:t>号</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ascii="仿宋_GB2312" w:eastAsia="仿宋_GB2312"/>
          <w:sz w:val="32"/>
          <w:szCs w:val="32"/>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ascii="仿宋_GB2312" w:eastAsia="仿宋_GB2312"/>
          <w:sz w:val="32"/>
          <w:szCs w:val="32"/>
        </w:rPr>
      </w:pPr>
      <w:r>
        <w:rPr>
          <w:rFonts w:hint="eastAsia" w:ascii="仿宋_GB2312" w:eastAsia="仿宋_GB2312"/>
          <w:sz w:val="32"/>
          <w:szCs w:val="32"/>
        </w:rPr>
        <w:t>赤峰市人民政府：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你市《关于赤峰市元宝山区平庄片区等四个片区土地征收成片开发调整方案（2022</w:t>
      </w:r>
      <w:r>
        <w:rPr>
          <w:rFonts w:hint="eastAsia" w:ascii="仿宋_GB2312" w:eastAsia="仿宋_GB2312"/>
          <w:sz w:val="32"/>
          <w:szCs w:val="32"/>
          <w:lang w:eastAsia="zh-CN"/>
        </w:rPr>
        <w:t>—</w:t>
      </w:r>
      <w:r>
        <w:rPr>
          <w:rFonts w:hint="eastAsia" w:ascii="仿宋_GB2312" w:eastAsia="仿宋_GB2312"/>
          <w:sz w:val="32"/>
          <w:szCs w:val="32"/>
        </w:rPr>
        <w:t>2023年）的请示》（赤政报〔2024〕121号）收悉。现批复如下：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经自治区自然资源厅组织专家论证和审查，《赤峰市元宝山区平庄片区等四个片区土地征收成片开发调整方案（2022</w:t>
      </w:r>
      <w:r>
        <w:rPr>
          <w:rFonts w:hint="eastAsia" w:ascii="仿宋_GB2312" w:eastAsia="仿宋_GB2312"/>
          <w:sz w:val="32"/>
          <w:szCs w:val="32"/>
          <w:lang w:eastAsia="zh-CN"/>
        </w:rPr>
        <w:t>—</w:t>
      </w:r>
      <w:r>
        <w:rPr>
          <w:rFonts w:hint="eastAsia" w:ascii="仿宋_GB2312" w:eastAsia="仿宋_GB2312"/>
          <w:sz w:val="32"/>
          <w:szCs w:val="32"/>
        </w:rPr>
        <w:t>2023年）》符合《中华人民共和国土地管理法》</w:t>
      </w:r>
      <w:r>
        <w:rPr>
          <w:rFonts w:hint="eastAsia" w:ascii="仿宋_GB2312" w:eastAsia="仿宋_GB2312"/>
          <w:sz w:val="32"/>
          <w:szCs w:val="32"/>
          <w:lang w:eastAsia="zh-CN"/>
        </w:rPr>
        <w:t>和</w:t>
      </w:r>
      <w:r>
        <w:rPr>
          <w:rFonts w:hint="eastAsia" w:ascii="仿宋_GB2312" w:eastAsia="仿宋_GB2312"/>
          <w:sz w:val="32"/>
          <w:szCs w:val="32"/>
        </w:rPr>
        <w:t>《自然资源部关于印发〈土地征收成片开发标准〉的通知》(自然资规〔2023〕7号)</w:t>
      </w:r>
      <w:r>
        <w:rPr>
          <w:rFonts w:hint="eastAsia" w:ascii="仿宋_GB2312" w:eastAsia="仿宋_GB2312"/>
          <w:sz w:val="32"/>
          <w:szCs w:val="32"/>
          <w:lang w:eastAsia="zh-CN"/>
        </w:rPr>
        <w:t>及</w:t>
      </w:r>
      <w:r>
        <w:rPr>
          <w:rFonts w:hint="eastAsia" w:ascii="仿宋_GB2312" w:eastAsia="仿宋_GB2312"/>
          <w:sz w:val="32"/>
          <w:szCs w:val="32"/>
        </w:rPr>
        <w:t>《内蒙古自治区土地征收成片开发实施细则(试行)》</w:t>
      </w:r>
      <w:r>
        <w:rPr>
          <w:rFonts w:hint="eastAsia" w:ascii="仿宋_GB2312" w:eastAsia="仿宋_GB2312"/>
          <w:sz w:val="32"/>
          <w:szCs w:val="32"/>
          <w:lang w:eastAsia="zh-CN"/>
        </w:rPr>
        <w:t>有关规定和</w:t>
      </w:r>
      <w:r>
        <w:rPr>
          <w:rFonts w:hint="eastAsia" w:ascii="仿宋_GB2312" w:eastAsia="仿宋_GB2312"/>
          <w:sz w:val="32"/>
          <w:szCs w:val="32"/>
        </w:rPr>
        <w:t>要求，符合国土空间总体规划管控规则，原则同意《赤峰市元宝山区平庄片区等四个片区土地征收成片开发调整方案（2022</w:t>
      </w:r>
      <w:r>
        <w:rPr>
          <w:rFonts w:hint="eastAsia" w:ascii="仿宋_GB2312" w:eastAsia="仿宋_GB2312"/>
          <w:sz w:val="32"/>
          <w:szCs w:val="32"/>
          <w:lang w:eastAsia="zh-CN"/>
        </w:rPr>
        <w:t>—</w:t>
      </w:r>
      <w:r>
        <w:rPr>
          <w:rFonts w:hint="eastAsia" w:ascii="仿宋_GB2312" w:eastAsia="仿宋_GB2312"/>
          <w:sz w:val="32"/>
          <w:szCs w:val="32"/>
        </w:rPr>
        <w:t>2023年）》,请依法依规做好各项工作。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ascii="仿宋_GB2312" w:eastAsia="仿宋_GB2312"/>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2024年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8</w:t>
      </w:r>
      <w:r>
        <w:rPr>
          <w:rFonts w:hint="eastAsia" w:ascii="仿宋_GB2312" w:eastAsia="仿宋_GB2312"/>
          <w:sz w:val="32"/>
          <w:szCs w:val="32"/>
        </w:rPr>
        <w:t>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（此件</w:t>
      </w:r>
      <w:r>
        <w:rPr>
          <w:rFonts w:hint="eastAsia" w:ascii="仿宋_GB2312" w:eastAsia="仿宋_GB2312"/>
          <w:sz w:val="32"/>
          <w:szCs w:val="32"/>
          <w:lang w:eastAsia="zh-CN"/>
        </w:rPr>
        <w:t>公开发布</w:t>
      </w:r>
      <w:r>
        <w:rPr>
          <w:rFonts w:hint="eastAsia" w:ascii="仿宋_GB2312" w:eastAsia="仿宋_GB2312"/>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420" w:firstLineChars="200"/>
        <w:jc w:val="both"/>
        <w:textAlignment w:val="auto"/>
      </w:pPr>
    </w:p>
    <w:p>
      <w:pPr>
        <w:keepNext w:val="0"/>
        <w:keepLines w:val="0"/>
        <w:pageBreakBefore w:val="0"/>
        <w:widowControl w:val="0"/>
        <w:kinsoku/>
        <w:wordWrap/>
        <w:overflowPunct/>
        <w:topLinePunct/>
        <w:autoSpaceDE/>
        <w:autoSpaceDN/>
        <w:bidi w:val="0"/>
        <w:adjustRightInd/>
        <w:snapToGrid/>
        <w:spacing w:line="580" w:lineRule="exact"/>
        <w:ind w:firstLine="420" w:firstLineChars="200"/>
        <w:jc w:val="both"/>
        <w:textAlignment w:val="auto"/>
      </w:pPr>
    </w:p>
    <w:p>
      <w:pPr>
        <w:keepNext w:val="0"/>
        <w:keepLines w:val="0"/>
        <w:pageBreakBefore w:val="0"/>
        <w:widowControl w:val="0"/>
        <w:kinsoku/>
        <w:wordWrap/>
        <w:overflowPunct/>
        <w:topLinePunct/>
        <w:autoSpaceDE/>
        <w:autoSpaceDN/>
        <w:bidi w:val="0"/>
        <w:adjustRightInd/>
        <w:snapToGrid/>
        <w:spacing w:line="580" w:lineRule="exact"/>
        <w:ind w:firstLine="420" w:firstLineChars="200"/>
        <w:jc w:val="both"/>
        <w:textAlignment w:val="auto"/>
      </w:pPr>
    </w:p>
    <w:p>
      <w:pPr>
        <w:keepNext w:val="0"/>
        <w:keepLines w:val="0"/>
        <w:pageBreakBefore w:val="0"/>
        <w:widowControl w:val="0"/>
        <w:kinsoku/>
        <w:wordWrap/>
        <w:overflowPunct/>
        <w:topLinePunct/>
        <w:autoSpaceDE/>
        <w:autoSpaceDN/>
        <w:bidi w:val="0"/>
        <w:adjustRightInd/>
        <w:snapToGrid/>
        <w:spacing w:line="580" w:lineRule="exact"/>
        <w:ind w:firstLine="420" w:firstLineChars="200"/>
        <w:jc w:val="both"/>
        <w:textAlignment w:val="auto"/>
      </w:pPr>
    </w:p>
    <w:p>
      <w:pPr>
        <w:keepNext w:val="0"/>
        <w:keepLines w:val="0"/>
        <w:pageBreakBefore w:val="0"/>
        <w:widowControl w:val="0"/>
        <w:kinsoku/>
        <w:wordWrap/>
        <w:overflowPunct/>
        <w:topLinePunct/>
        <w:autoSpaceDE/>
        <w:autoSpaceDN/>
        <w:bidi w:val="0"/>
        <w:adjustRightInd/>
        <w:snapToGrid/>
        <w:spacing w:line="580" w:lineRule="exact"/>
        <w:ind w:firstLine="420" w:firstLineChars="200"/>
        <w:jc w:val="both"/>
        <w:textAlignment w:val="auto"/>
      </w:pPr>
    </w:p>
    <w:p>
      <w:pPr>
        <w:keepNext w:val="0"/>
        <w:keepLines w:val="0"/>
        <w:pageBreakBefore w:val="0"/>
        <w:widowControl w:val="0"/>
        <w:kinsoku/>
        <w:wordWrap/>
        <w:overflowPunct/>
        <w:topLinePunct/>
        <w:autoSpaceDE/>
        <w:autoSpaceDN/>
        <w:bidi w:val="0"/>
        <w:adjustRightInd/>
        <w:snapToGrid/>
        <w:spacing w:line="580" w:lineRule="exact"/>
        <w:ind w:firstLine="420" w:firstLineChars="200"/>
        <w:jc w:val="both"/>
        <w:textAlignment w:val="auto"/>
      </w:pPr>
      <w:bookmarkStart w:id="1" w:name="_GoBack"/>
      <w:bookmarkEnd w:id="1"/>
    </w:p>
    <w:p>
      <w:pPr>
        <w:keepNext w:val="0"/>
        <w:keepLines w:val="0"/>
        <w:pageBreakBefore w:val="0"/>
        <w:widowControl w:val="0"/>
        <w:kinsoku/>
        <w:wordWrap/>
        <w:overflowPunct/>
        <w:topLinePunct/>
        <w:autoSpaceDE/>
        <w:autoSpaceDN/>
        <w:bidi w:val="0"/>
        <w:adjustRightInd/>
        <w:snapToGrid/>
        <w:spacing w:line="580" w:lineRule="exact"/>
        <w:ind w:firstLine="420" w:firstLineChars="200"/>
        <w:jc w:val="both"/>
        <w:textAlignment w:val="auto"/>
      </w:pPr>
    </w:p>
    <w:p>
      <w:pPr>
        <w:keepNext w:val="0"/>
        <w:keepLines w:val="0"/>
        <w:pageBreakBefore w:val="0"/>
        <w:widowControl w:val="0"/>
        <w:kinsoku/>
        <w:wordWrap/>
        <w:overflowPunct/>
        <w:topLinePunct/>
        <w:autoSpaceDE/>
        <w:autoSpaceDN/>
        <w:bidi w:val="0"/>
        <w:adjustRightInd/>
        <w:snapToGrid/>
        <w:spacing w:line="580" w:lineRule="exact"/>
        <w:ind w:firstLine="420" w:firstLineChars="200"/>
        <w:jc w:val="both"/>
        <w:textAlignment w:val="auto"/>
      </w:pPr>
    </w:p>
    <w:p>
      <w:pPr>
        <w:keepNext w:val="0"/>
        <w:keepLines w:val="0"/>
        <w:pageBreakBefore w:val="0"/>
        <w:widowControl w:val="0"/>
        <w:kinsoku/>
        <w:wordWrap/>
        <w:overflowPunct/>
        <w:topLinePunct/>
        <w:autoSpaceDE/>
        <w:autoSpaceDN/>
        <w:bidi w:val="0"/>
        <w:adjustRightInd/>
        <w:snapToGrid/>
        <w:spacing w:line="580" w:lineRule="exact"/>
        <w:ind w:firstLine="420" w:firstLineChars="200"/>
        <w:jc w:val="both"/>
        <w:textAlignment w:val="auto"/>
      </w:pPr>
    </w:p>
    <w:p>
      <w:pPr>
        <w:keepNext w:val="0"/>
        <w:keepLines w:val="0"/>
        <w:pageBreakBefore w:val="0"/>
        <w:widowControl w:val="0"/>
        <w:kinsoku/>
        <w:wordWrap/>
        <w:overflowPunct/>
        <w:topLinePunct/>
        <w:autoSpaceDE/>
        <w:autoSpaceDN/>
        <w:bidi w:val="0"/>
        <w:adjustRightInd/>
        <w:snapToGrid/>
        <w:spacing w:line="580" w:lineRule="exact"/>
        <w:ind w:firstLine="420" w:firstLineChars="200"/>
        <w:jc w:val="both"/>
        <w:textAlignment w:val="auto"/>
      </w:pPr>
    </w:p>
    <w:p>
      <w:pPr>
        <w:keepNext w:val="0"/>
        <w:keepLines w:val="0"/>
        <w:pageBreakBefore w:val="0"/>
        <w:widowControl w:val="0"/>
        <w:kinsoku/>
        <w:wordWrap/>
        <w:overflowPunct/>
        <w:topLinePunct/>
        <w:autoSpaceDE/>
        <w:autoSpaceDN/>
        <w:bidi w:val="0"/>
        <w:adjustRightInd/>
        <w:snapToGrid/>
        <w:spacing w:line="580" w:lineRule="exact"/>
        <w:ind w:firstLine="420" w:firstLineChars="200"/>
        <w:jc w:val="both"/>
        <w:textAlignment w:val="auto"/>
      </w:pPr>
    </w:p>
    <w:p>
      <w:pPr>
        <w:keepNext w:val="0"/>
        <w:keepLines w:val="0"/>
        <w:pageBreakBefore w:val="0"/>
        <w:widowControl w:val="0"/>
        <w:kinsoku/>
        <w:wordWrap/>
        <w:overflowPunct/>
        <w:topLinePunct/>
        <w:autoSpaceDE/>
        <w:autoSpaceDN/>
        <w:bidi w:val="0"/>
        <w:adjustRightInd/>
        <w:snapToGrid/>
        <w:spacing w:line="580" w:lineRule="exact"/>
        <w:ind w:firstLine="420" w:firstLineChars="200"/>
        <w:jc w:val="both"/>
        <w:textAlignment w:val="auto"/>
        <w:rPr>
          <w:rFonts w:hint="eastAsia" w:eastAsia="宋体"/>
          <w:lang w:eastAsia="zh-CN"/>
        </w:rPr>
      </w:pPr>
    </w:p>
    <w:p>
      <w:pPr>
        <w:keepNext w:val="0"/>
        <w:keepLines w:val="0"/>
        <w:pageBreakBefore w:val="0"/>
        <w:widowControl w:val="0"/>
        <w:kinsoku/>
        <w:wordWrap/>
        <w:overflowPunct/>
        <w:topLinePunct/>
        <w:autoSpaceDE/>
        <w:autoSpaceDN/>
        <w:bidi w:val="0"/>
        <w:adjustRightInd/>
        <w:snapToGrid/>
        <w:spacing w:line="580" w:lineRule="exact"/>
        <w:ind w:left="210" w:leftChars="100"/>
        <w:jc w:val="both"/>
        <w:textAlignment w:val="auto"/>
        <w:rPr>
          <w:rFonts w:hint="eastAsia"/>
          <w:sz w:val="28"/>
          <w:szCs w:val="28"/>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4026535</wp:posOffset>
            </wp:positionH>
            <wp:positionV relativeFrom="paragraph">
              <wp:posOffset>567055</wp:posOffset>
            </wp:positionV>
            <wp:extent cx="1477010" cy="487680"/>
            <wp:effectExtent l="0" t="0" r="8890" b="7620"/>
            <wp:wrapSquare wrapText="bothSides"/>
            <wp:docPr id="1" name="图片 4" descr="NZZ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NZZ189"/>
                    <pic:cNvPicPr>
                      <a:picLocks noChangeAspect="1"/>
                    </pic:cNvPicPr>
                  </pic:nvPicPr>
                  <pic:blipFill>
                    <a:blip r:embed="rId6"/>
                    <a:stretch>
                      <a:fillRect/>
                    </a:stretch>
                  </pic:blipFill>
                  <pic:spPr>
                    <a:xfrm>
                      <a:off x="0" y="0"/>
                      <a:ext cx="1477010" cy="487680"/>
                    </a:xfrm>
                    <a:prstGeom prst="rect">
                      <a:avLst/>
                    </a:prstGeom>
                    <a:noFill/>
                    <a:ln>
                      <a:noFill/>
                    </a:ln>
                  </pic:spPr>
                </pic:pic>
              </a:graphicData>
            </a:graphic>
          </wp:anchor>
        </w:drawing>
      </w:r>
      <w:r>
        <w:rPr>
          <w:rFonts w:hint="eastAsia" w:ascii="仿宋_GB2312" w:eastAsia="仿宋_GB2312"/>
          <w:sz w:val="28"/>
          <w:szCs w:val="28"/>
        </w:rPr>
        <w:t>抄送：自治区自然资源厅。</w:t>
      </w:r>
    </w:p>
    <w:sectPr>
      <w:footerReference r:id="rId3" w:type="default"/>
      <w:footerReference r:id="rId4" w:type="even"/>
      <w:pgSz w:w="11906" w:h="16838"/>
      <w:pgMar w:top="2098" w:right="1474" w:bottom="1701" w:left="1474" w:header="851" w:footer="1304"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452" w:y="-23"/>
      <w:rPr>
        <w:rStyle w:val="9"/>
        <w:rFonts w:hint="eastAsia" w:ascii="宋体" w:hAnsi="宋体"/>
        <w:sz w:val="28"/>
        <w:szCs w:val="28"/>
      </w:rPr>
    </w:pP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lang/>
      </w:rPr>
      <w:t>- 3 -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lang/>
      </w:rPr>
      <w:t>- 2 -</w:t>
    </w:r>
    <w:r>
      <w:rPr>
        <w:rFonts w:ascii="宋体" w:hAnsi="宋体"/>
        <w:sz w:val="28"/>
        <w:szCs w:val="28"/>
      </w:rP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BD4"/>
    <w:rsid w:val="00057363"/>
    <w:rsid w:val="00092BD4"/>
    <w:rsid w:val="001B7709"/>
    <w:rsid w:val="00302982"/>
    <w:rsid w:val="00323128"/>
    <w:rsid w:val="00337358"/>
    <w:rsid w:val="00351DB4"/>
    <w:rsid w:val="00444154"/>
    <w:rsid w:val="00483E09"/>
    <w:rsid w:val="004B2561"/>
    <w:rsid w:val="006048D6"/>
    <w:rsid w:val="006114C2"/>
    <w:rsid w:val="00650767"/>
    <w:rsid w:val="00755D27"/>
    <w:rsid w:val="00825CE1"/>
    <w:rsid w:val="008408A0"/>
    <w:rsid w:val="00861E84"/>
    <w:rsid w:val="008E482C"/>
    <w:rsid w:val="00AC3BB4"/>
    <w:rsid w:val="00B1163C"/>
    <w:rsid w:val="00B32830"/>
    <w:rsid w:val="00B33ED2"/>
    <w:rsid w:val="00B52F22"/>
    <w:rsid w:val="00B558E6"/>
    <w:rsid w:val="00B8542C"/>
    <w:rsid w:val="00C809B3"/>
    <w:rsid w:val="00CB0B2B"/>
    <w:rsid w:val="00CC1415"/>
    <w:rsid w:val="00D3579F"/>
    <w:rsid w:val="00DD4FCD"/>
    <w:rsid w:val="00DD700A"/>
    <w:rsid w:val="00DF62D9"/>
    <w:rsid w:val="00E751C2"/>
    <w:rsid w:val="00F71128"/>
    <w:rsid w:val="00F94438"/>
    <w:rsid w:val="05852F78"/>
    <w:rsid w:val="0BC47CD8"/>
    <w:rsid w:val="1BF4474B"/>
    <w:rsid w:val="217D23BA"/>
    <w:rsid w:val="24083AFB"/>
    <w:rsid w:val="26B60133"/>
    <w:rsid w:val="27355263"/>
    <w:rsid w:val="27E04077"/>
    <w:rsid w:val="29255FCE"/>
    <w:rsid w:val="2E8755BE"/>
    <w:rsid w:val="2F1C13C4"/>
    <w:rsid w:val="36193767"/>
    <w:rsid w:val="3BD24288"/>
    <w:rsid w:val="3DF58DD9"/>
    <w:rsid w:val="3E69388C"/>
    <w:rsid w:val="3E8003A9"/>
    <w:rsid w:val="43CE25A7"/>
    <w:rsid w:val="4FD33F1F"/>
    <w:rsid w:val="5AE60326"/>
    <w:rsid w:val="5DFD2D17"/>
    <w:rsid w:val="5FC47C57"/>
    <w:rsid w:val="604307FB"/>
    <w:rsid w:val="612A5090"/>
    <w:rsid w:val="619539FE"/>
    <w:rsid w:val="65FF1472"/>
    <w:rsid w:val="67C742AE"/>
    <w:rsid w:val="68C13D1E"/>
    <w:rsid w:val="69AA7AA3"/>
    <w:rsid w:val="6ADE316A"/>
    <w:rsid w:val="6FE3A001"/>
    <w:rsid w:val="714100A0"/>
    <w:rsid w:val="76015C3A"/>
    <w:rsid w:val="76167F2F"/>
    <w:rsid w:val="76240541"/>
    <w:rsid w:val="7C7734A3"/>
    <w:rsid w:val="7D1850A2"/>
    <w:rsid w:val="BCDF9A28"/>
    <w:rsid w:val="BDFE5E7F"/>
    <w:rsid w:val="BDFF1632"/>
    <w:rsid w:val="D7FFF981"/>
    <w:rsid w:val="DFDEFEC7"/>
    <w:rsid w:val="E57A25AB"/>
    <w:rsid w:val="F6F70FE8"/>
    <w:rsid w:val="F7D7781F"/>
    <w:rsid w:val="F9F9CB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style>
  <w:style w:type="paragraph" w:styleId="2">
    <w:name w:val="Body Text"/>
    <w:basedOn w:val="1"/>
    <w:link w:val="10"/>
    <w:unhideWhenUsed/>
    <w:qFormat/>
    <w:uiPriority w:val="99"/>
    <w:pPr>
      <w:spacing w:after="120"/>
    </w:pPr>
    <w:rPr>
      <w:rFonts w:ascii="Calibri" w:hAnsi="Calibri" w:eastAsia="宋体" w:cs="Times New Roman"/>
      <w:szCs w:val="22"/>
    </w:rPr>
  </w:style>
  <w:style w:type="paragraph" w:styleId="3">
    <w:name w:val="Balloon Text"/>
    <w:basedOn w:val="1"/>
    <w:link w:val="11"/>
    <w:unhideWhenUsed/>
    <w:qFormat/>
    <w:uiPriority w:val="99"/>
    <w:rPr>
      <w:rFonts w:ascii="Calibri" w:hAnsi="Calibri" w:eastAsia="宋体" w:cs="Times New Roman"/>
      <w:sz w:val="18"/>
      <w:szCs w:val="18"/>
    </w:r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page number"/>
    <w:basedOn w:val="8"/>
    <w:uiPriority w:val="0"/>
  </w:style>
  <w:style w:type="character" w:customStyle="1" w:styleId="10">
    <w:name w:val="正文文本 Char"/>
    <w:basedOn w:val="8"/>
    <w:link w:val="2"/>
    <w:semiHidden/>
    <w:qFormat/>
    <w:uiPriority w:val="99"/>
    <w:rPr>
      <w:rFonts w:ascii="Calibri" w:hAnsi="Calibri" w:eastAsia="宋体" w:cs="Times New Roman"/>
    </w:rPr>
  </w:style>
  <w:style w:type="character" w:customStyle="1" w:styleId="11">
    <w:name w:val="批注框文本 Char"/>
    <w:basedOn w:val="8"/>
    <w:link w:val="3"/>
    <w:semiHidden/>
    <w:qFormat/>
    <w:uiPriority w:val="99"/>
    <w:rPr>
      <w:rFonts w:ascii="Calibri" w:hAnsi="Calibri" w:eastAsia="宋体" w:cs="Times New Roman"/>
      <w:sz w:val="18"/>
      <w:szCs w:val="18"/>
    </w:rPr>
  </w:style>
  <w:style w:type="character" w:customStyle="1" w:styleId="12">
    <w:name w:val="页脚 Char"/>
    <w:basedOn w:val="8"/>
    <w:link w:val="4"/>
    <w:uiPriority w:val="99"/>
    <w:rPr>
      <w:rFonts w:ascii="Calibri" w:hAnsi="Calibri" w:eastAsia="宋体" w:cs="Times New Roman"/>
      <w:kern w:val="2"/>
      <w:sz w:val="18"/>
      <w:szCs w:val="18"/>
    </w:rPr>
  </w:style>
  <w:style w:type="character" w:customStyle="1" w:styleId="13">
    <w:name w:val="页眉 Char"/>
    <w:basedOn w:val="8"/>
    <w:link w:val="5"/>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0</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哈斯高娃:通知发起人</cp:lastModifiedBy>
  <dcterms:modified xsi:type="dcterms:W3CDTF">2024-10-11T06:46:08Z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